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8333FA" w:rsidR="008333FA" w:rsidP="008333FA" w:rsidRDefault="008333FA" w14:paraId="43fd23f" w14:textId="43fd23f">
      <w:pPr>
        <w:spacing w:after="0" w:line="240" w:lineRule="auto"/>
        <w15:collapsed w:val="false"/>
        <w:rPr>
          <w:rFonts w:eastAsia="Times New Roman" w:cs="Arial"/>
          <w:bCs/>
          <w:spacing w:val="8"/>
          <w:szCs w:val="24"/>
          <w:lang w:eastAsia="hr-HR"/>
        </w:rPr>
      </w:pPr>
      <w:bookmarkStart w:name="_GoBack" w:id="0"/>
      <w:bookmarkEnd w:id="0"/>
      <w:r w:rsidRPr="008333FA">
        <w:rPr>
          <w:rFonts w:eastAsia="Times New Roman" w:cs="Arial"/>
          <w:bCs/>
          <w:szCs w:val="24"/>
          <w:lang w:eastAsia="hr-HR"/>
        </w:rPr>
        <w:t xml:space="preserve">REPUBLIKA HRVATSKA </w:t>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t xml:space="preserve">          </w:t>
      </w:r>
      <w:r w:rsidRPr="008333FA">
        <w:rPr>
          <w:rFonts w:eastAsia="Times New Roman" w:cs="Arial"/>
          <w:bCs/>
          <w:szCs w:val="24"/>
          <w:lang w:eastAsia="hr-HR"/>
        </w:rPr>
        <w:tab/>
      </w:r>
      <w:r w:rsidRPr="008333FA">
        <w:rPr>
          <w:rFonts w:eastAsia="Times New Roman" w:cs="Arial"/>
          <w:bCs/>
          <w:szCs w:val="24"/>
          <w:lang w:eastAsia="hr-HR"/>
        </w:rPr>
        <w:tab/>
        <w:t xml:space="preserve">   </w:t>
      </w:r>
      <w:r w:rsidRPr="008333FA">
        <w:rPr>
          <w:rFonts w:eastAsia="Times New Roman" w:cs="Arial"/>
          <w:bCs/>
          <w:color w:val="7F7F7F"/>
          <w:szCs w:val="24"/>
          <w:lang w:eastAsia="hr-HR"/>
        </w:rPr>
        <w:t xml:space="preserve">         </w:t>
      </w:r>
    </w:p>
    <w:p w:rsidRPr="008333FA" w:rsidR="008333FA" w:rsidP="008333FA" w:rsidRDefault="008333FA">
      <w:pPr>
        <w:spacing w:after="0" w:line="240" w:lineRule="auto"/>
        <w:rPr>
          <w:rFonts w:eastAsia="Times New Roman" w:cs="Arial"/>
          <w:bCs/>
          <w:szCs w:val="24"/>
          <w:lang w:eastAsia="hr-HR"/>
        </w:rPr>
      </w:pPr>
      <w:r w:rsidRPr="008333FA">
        <w:rPr>
          <w:rFonts w:eastAsia="Times New Roman" w:cs="Arial"/>
          <w:bCs/>
          <w:szCs w:val="24"/>
          <w:lang w:eastAsia="hr-HR"/>
        </w:rPr>
        <w:t>TRGOVAČKI SUD U PAZINU</w:t>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t xml:space="preserve">           </w:t>
      </w:r>
    </w:p>
    <w:p w:rsidR="008333FA" w:rsidP="008333FA" w:rsidRDefault="008333FA">
      <w:pPr>
        <w:spacing w:after="0" w:line="240" w:lineRule="auto"/>
        <w:rPr>
          <w:rFonts w:eastAsia="Times New Roman" w:cs="Arial"/>
          <w:bCs/>
          <w:szCs w:val="24"/>
          <w:lang w:eastAsia="hr-HR"/>
        </w:rPr>
      </w:pPr>
      <w:r w:rsidRPr="008333FA">
        <w:rPr>
          <w:rFonts w:eastAsia="Times New Roman" w:cs="Arial"/>
          <w:bCs/>
          <w:szCs w:val="24"/>
          <w:lang w:eastAsia="hr-HR"/>
        </w:rPr>
        <w:t>52000 Pazin, Dršćevka 1</w:t>
      </w:r>
    </w:p>
    <w:p w:rsidR="008333FA" w:rsidP="008333FA" w:rsidRDefault="008333FA">
      <w:pPr>
        <w:spacing w:after="0" w:line="240" w:lineRule="auto"/>
        <w:rPr>
          <w:rFonts w:eastAsia="Times New Roman" w:cs="Arial"/>
          <w:bCs/>
          <w:szCs w:val="24"/>
          <w:lang w:eastAsia="hr-HR"/>
        </w:rPr>
      </w:pPr>
    </w:p>
    <w:p w:rsidRPr="008333FA" w:rsidR="008333FA" w:rsidP="008333FA" w:rsidRDefault="008333FA">
      <w:pPr>
        <w:spacing w:after="0" w:line="240" w:lineRule="auto"/>
        <w:ind w:left="6372" w:firstLine="708"/>
        <w:rPr>
          <w:rFonts w:eastAsia="Times New Roman" w:cs="Arial"/>
          <w:bCs/>
          <w:szCs w:val="24"/>
          <w:lang w:eastAsia="hr-HR"/>
        </w:rPr>
      </w:pPr>
      <w:r>
        <w:t xml:space="preserve">     </w:t>
      </w:r>
      <w:r w:rsidRPr="008333FA">
        <w:t>St-349/</w:t>
      </w:r>
      <w:r w:rsidRPr="007C32D5">
        <w:t>2024-</w:t>
      </w:r>
      <w:r w:rsidR="00E200A3">
        <w:t>68</w:t>
      </w:r>
    </w:p>
    <w:p w:rsidRPr="008333FA" w:rsidR="008333FA" w:rsidP="008333FA" w:rsidRDefault="008333FA"/>
    <w:p w:rsidRPr="008333FA" w:rsidR="008333FA" w:rsidP="008333FA" w:rsidRDefault="008333FA">
      <w:pPr>
        <w:spacing w:after="0" w:line="240" w:lineRule="auto"/>
        <w:jc w:val="center"/>
        <w:rPr>
          <w:rFonts w:eastAsia="Times New Roman" w:cs="Arial"/>
          <w:bCs/>
          <w:szCs w:val="24"/>
          <w:lang w:eastAsia="hr-HR"/>
        </w:rPr>
      </w:pPr>
      <w:r w:rsidRPr="008333FA">
        <w:rPr>
          <w:rFonts w:eastAsia="Times New Roman" w:cs="Arial"/>
          <w:bCs/>
          <w:szCs w:val="24"/>
          <w:lang w:eastAsia="hr-HR"/>
        </w:rPr>
        <w:t>Z A P I S N I K</w:t>
      </w:r>
    </w:p>
    <w:p w:rsidRPr="008333FA" w:rsidR="008333FA" w:rsidP="008333FA" w:rsidRDefault="008333FA">
      <w:pPr>
        <w:spacing w:after="0" w:line="240" w:lineRule="auto"/>
        <w:jc w:val="center"/>
        <w:rPr>
          <w:rFonts w:eastAsia="Times New Roman" w:cs="Arial"/>
          <w:bCs/>
          <w:szCs w:val="24"/>
          <w:lang w:eastAsia="hr-HR"/>
        </w:rPr>
      </w:pPr>
      <w:r w:rsidRPr="008333FA">
        <w:rPr>
          <w:rFonts w:eastAsia="Times New Roman" w:cs="Arial"/>
          <w:bCs/>
          <w:szCs w:val="24"/>
          <w:lang w:eastAsia="hr-HR"/>
        </w:rPr>
        <w:t>od 7. studenog 2024.</w:t>
      </w:r>
    </w:p>
    <w:p w:rsidRPr="008333FA" w:rsidR="008333FA" w:rsidP="008333FA" w:rsidRDefault="008333FA">
      <w:pPr>
        <w:spacing w:after="0" w:line="240" w:lineRule="auto"/>
        <w:jc w:val="center"/>
        <w:rPr>
          <w:rFonts w:eastAsia="Times New Roman" w:cs="Arial"/>
          <w:bCs/>
          <w:szCs w:val="24"/>
          <w:lang w:eastAsia="hr-HR"/>
        </w:rPr>
      </w:pPr>
      <w:r w:rsidRPr="008333FA">
        <w:rPr>
          <w:rFonts w:eastAsia="Times New Roman" w:cs="Arial"/>
          <w:bCs/>
          <w:szCs w:val="24"/>
          <w:lang w:eastAsia="hr-HR"/>
        </w:rPr>
        <w:t xml:space="preserve">Sastavljen kod Trgovačkog suda u Pazinu o skupštini vjerovnika, </w:t>
      </w:r>
    </w:p>
    <w:p w:rsidRPr="008333FA" w:rsidR="008333FA" w:rsidP="008333FA" w:rsidRDefault="008333FA">
      <w:pPr>
        <w:spacing w:after="0" w:line="240" w:lineRule="auto"/>
        <w:jc w:val="center"/>
        <w:rPr>
          <w:rFonts w:eastAsia="Times New Roman" w:cs="Arial"/>
          <w:bCs/>
          <w:color w:val="7F7F7F"/>
          <w:szCs w:val="24"/>
          <w:lang w:eastAsia="hr-HR"/>
        </w:rPr>
      </w:pPr>
      <w:r w:rsidRPr="008333FA">
        <w:rPr>
          <w:rFonts w:eastAsia="Times New Roman" w:cs="Arial"/>
          <w:bCs/>
          <w:szCs w:val="24"/>
          <w:lang w:eastAsia="hr-HR"/>
        </w:rPr>
        <w:t xml:space="preserve">u stečajnom postupku nad </w:t>
      </w:r>
      <w:r w:rsidRPr="00505F66">
        <w:rPr>
          <w:rFonts w:cs="Arial"/>
        </w:rPr>
        <w:t>Stečajnom masom iza AUDAX TIM j.d.o.o. u stečaju</w:t>
      </w:r>
      <w:r w:rsidR="00505F66">
        <w:rPr>
          <w:rFonts w:cs="Arial"/>
        </w:rPr>
        <w:t xml:space="preserve">, Karlovac, Kralja Tomislava 10/1, OIB: </w:t>
      </w:r>
      <w:r w:rsidRPr="00505F66" w:rsidR="00505F66">
        <w:rPr>
          <w:rFonts w:cs="Arial"/>
        </w:rPr>
        <w:t>56636823183</w:t>
      </w:r>
    </w:p>
    <w:p w:rsidRPr="008333FA" w:rsidR="008333FA" w:rsidP="008333FA" w:rsidRDefault="008333FA">
      <w:pPr>
        <w:spacing w:after="0" w:line="240" w:lineRule="auto"/>
        <w:jc w:val="center"/>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r w:rsidRPr="008333FA">
        <w:rPr>
          <w:rFonts w:eastAsia="Times New Roman" w:cs="Arial"/>
          <w:bCs/>
          <w:szCs w:val="24"/>
          <w:lang w:eastAsia="hr-HR"/>
        </w:rPr>
        <w:t>OD SUDA NAZOČNI:</w:t>
      </w:r>
    </w:p>
    <w:p w:rsidRPr="008333FA" w:rsidR="008333FA" w:rsidP="008333FA" w:rsidRDefault="008333FA">
      <w:pPr>
        <w:spacing w:after="0" w:line="240" w:lineRule="auto"/>
        <w:jc w:val="both"/>
        <w:rPr>
          <w:rFonts w:eastAsia="Times New Roman" w:cs="Arial"/>
          <w:bCs/>
          <w:szCs w:val="24"/>
          <w:lang w:eastAsia="hr-HR"/>
        </w:rPr>
      </w:pPr>
      <w:r w:rsidRPr="008333FA">
        <w:rPr>
          <w:rFonts w:eastAsia="Times New Roman" w:cs="Arial"/>
          <w:bCs/>
          <w:szCs w:val="24"/>
          <w:lang w:eastAsia="hr-HR"/>
        </w:rPr>
        <w:t xml:space="preserve">Adrijana Labinjan Skok, sutkinja </w:t>
      </w:r>
    </w:p>
    <w:p w:rsidRPr="008333FA" w:rsidR="008333FA" w:rsidP="008333FA" w:rsidRDefault="008333FA">
      <w:pPr>
        <w:spacing w:after="0" w:line="240" w:lineRule="auto"/>
        <w:jc w:val="both"/>
        <w:rPr>
          <w:rFonts w:eastAsia="Times New Roman" w:cs="Arial"/>
          <w:bCs/>
          <w:szCs w:val="24"/>
          <w:lang w:eastAsia="hr-HR"/>
        </w:rPr>
      </w:pPr>
      <w:r w:rsidRPr="008333FA">
        <w:rPr>
          <w:rFonts w:eastAsia="Times New Roman" w:cs="Arial"/>
          <w:bCs/>
          <w:szCs w:val="24"/>
          <w:lang w:eastAsia="hr-HR"/>
        </w:rPr>
        <w:t>Jasmina Matika, zapisničarka</w:t>
      </w: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r w:rsidRPr="008333FA">
        <w:rPr>
          <w:rFonts w:eastAsia="Times New Roman" w:cs="Arial"/>
          <w:bCs/>
          <w:szCs w:val="24"/>
          <w:lang w:eastAsia="hr-HR"/>
        </w:rPr>
        <w:t>Početak u 10:15 sati.</w:t>
      </w: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r w:rsidRPr="008333FA">
        <w:rPr>
          <w:rFonts w:eastAsia="Times New Roman" w:cs="Arial"/>
          <w:bCs/>
          <w:szCs w:val="24"/>
          <w:lang w:eastAsia="hr-HR"/>
        </w:rPr>
        <w:t>Ročište je javno.</w:t>
      </w:r>
    </w:p>
    <w:p w:rsidRPr="008333FA" w:rsidR="008333FA" w:rsidP="008333FA" w:rsidRDefault="008333FA">
      <w:pPr>
        <w:spacing w:after="0" w:line="240" w:lineRule="auto"/>
        <w:jc w:val="both"/>
        <w:rPr>
          <w:rFonts w:eastAsia="Times New Roman" w:cs="Arial"/>
          <w:bCs/>
          <w:szCs w:val="24"/>
          <w:lang w:eastAsia="hr-HR"/>
        </w:rPr>
      </w:pPr>
    </w:p>
    <w:p w:rsidR="008333FA" w:rsidP="008333FA" w:rsidRDefault="008333FA">
      <w:pPr>
        <w:spacing w:after="0" w:line="240" w:lineRule="auto"/>
        <w:jc w:val="both"/>
        <w:rPr>
          <w:rFonts w:eastAsia="Times New Roman" w:cs="Arial"/>
          <w:bCs/>
          <w:szCs w:val="24"/>
          <w:lang w:eastAsia="hr-HR"/>
        </w:rPr>
      </w:pPr>
      <w:r w:rsidRPr="008333FA">
        <w:rPr>
          <w:rFonts w:eastAsia="Times New Roman" w:cs="Arial"/>
          <w:bCs/>
          <w:szCs w:val="24"/>
          <w:lang w:eastAsia="hr-HR"/>
        </w:rPr>
        <w:t>Utvrđuje se da su pristupili:</w:t>
      </w:r>
    </w:p>
    <w:p w:rsidRPr="008333FA" w:rsidR="00874E23" w:rsidP="008333FA" w:rsidRDefault="00874E23">
      <w:pPr>
        <w:spacing w:after="0" w:line="240" w:lineRule="auto"/>
        <w:jc w:val="both"/>
        <w:rPr>
          <w:rFonts w:eastAsia="Times New Roman" w:cs="Arial"/>
          <w:bCs/>
          <w:szCs w:val="24"/>
          <w:lang w:eastAsia="hr-HR"/>
        </w:rPr>
      </w:pPr>
      <w:r>
        <w:rPr>
          <w:rFonts w:eastAsia="Times New Roman" w:cs="Arial"/>
          <w:bCs/>
          <w:szCs w:val="24"/>
          <w:lang w:eastAsia="hr-HR"/>
        </w:rPr>
        <w:t>- stečajna upraviteljica Alma Tatalović, na daljinu</w:t>
      </w:r>
    </w:p>
    <w:p w:rsidRPr="00E200A3" w:rsidR="00E200A3" w:rsidP="008333FA" w:rsidRDefault="00E200A3">
      <w:pPr>
        <w:spacing w:after="0" w:line="240" w:lineRule="auto"/>
        <w:jc w:val="both"/>
        <w:rPr>
          <w:rFonts w:eastAsia="Times New Roman" w:cs="Arial"/>
          <w:bCs/>
          <w:szCs w:val="24"/>
          <w:lang w:eastAsia="hr-HR"/>
        </w:rPr>
      </w:pPr>
      <w:r w:rsidRPr="00E200A3">
        <w:rPr>
          <w:rFonts w:eastAsia="Times New Roman" w:cs="Arial"/>
          <w:bCs/>
          <w:szCs w:val="24"/>
          <w:lang w:eastAsia="hr-HR"/>
        </w:rPr>
        <w:t>- za Republiku Hrvatsku pun. Ana Morić, viša državnoodvjetnička savjetnica u</w:t>
      </w:r>
      <w:r w:rsidRPr="00E200A3" w:rsidR="008333FA">
        <w:rPr>
          <w:rFonts w:eastAsia="Times New Roman" w:cs="Arial"/>
          <w:bCs/>
          <w:szCs w:val="24"/>
          <w:lang w:eastAsia="hr-HR"/>
        </w:rPr>
        <w:t xml:space="preserve"> ŽDO u </w:t>
      </w:r>
    </w:p>
    <w:p w:rsidRPr="00E200A3" w:rsidR="008333FA" w:rsidP="008333FA" w:rsidRDefault="00E200A3">
      <w:pPr>
        <w:spacing w:after="0" w:line="240" w:lineRule="auto"/>
        <w:jc w:val="both"/>
        <w:rPr>
          <w:rFonts w:eastAsia="Times New Roman" w:cs="Arial"/>
          <w:bCs/>
          <w:szCs w:val="24"/>
          <w:lang w:eastAsia="hr-HR"/>
        </w:rPr>
      </w:pPr>
      <w:r w:rsidRPr="00E200A3">
        <w:rPr>
          <w:rFonts w:eastAsia="Times New Roman" w:cs="Arial"/>
          <w:bCs/>
          <w:szCs w:val="24"/>
          <w:lang w:eastAsia="hr-HR"/>
        </w:rPr>
        <w:t xml:space="preserve">  </w:t>
      </w:r>
      <w:r w:rsidRPr="00E200A3" w:rsidR="008333FA">
        <w:rPr>
          <w:rFonts w:eastAsia="Times New Roman" w:cs="Arial"/>
          <w:bCs/>
          <w:szCs w:val="24"/>
          <w:lang w:eastAsia="hr-HR"/>
        </w:rPr>
        <w:t xml:space="preserve">Puli, </w:t>
      </w:r>
      <w:r w:rsidRPr="00E200A3">
        <w:rPr>
          <w:rFonts w:eastAsia="Times New Roman" w:cs="Arial"/>
          <w:bCs/>
          <w:szCs w:val="24"/>
          <w:lang w:eastAsia="hr-HR"/>
        </w:rPr>
        <w:t>punomoć u spisu, na daljinu</w:t>
      </w:r>
    </w:p>
    <w:p w:rsidRPr="008333FA" w:rsidR="008333FA" w:rsidP="008333FA" w:rsidRDefault="008333FA">
      <w:pPr>
        <w:spacing w:after="0" w:line="240" w:lineRule="auto"/>
        <w:jc w:val="both"/>
        <w:rPr>
          <w:rFonts w:eastAsia="Times New Roman" w:cs="Arial"/>
          <w:bCs/>
          <w:szCs w:val="24"/>
          <w:lang w:eastAsia="hr-HR"/>
        </w:rPr>
      </w:pPr>
    </w:p>
    <w:p w:rsidR="008333FA" w:rsidP="008333FA" w:rsidRDefault="008333FA">
      <w:pPr>
        <w:spacing w:after="0" w:line="240" w:lineRule="auto"/>
        <w:jc w:val="both"/>
        <w:rPr>
          <w:rFonts w:eastAsia="Times New Roman" w:cs="Arial"/>
          <w:bCs/>
          <w:color w:val="808080"/>
          <w:szCs w:val="24"/>
          <w:lang w:eastAsia="hr-HR"/>
        </w:rPr>
      </w:pPr>
    </w:p>
    <w:p w:rsidRPr="008333FA" w:rsidR="008333FA" w:rsidP="008333FA" w:rsidRDefault="008333FA">
      <w:pPr>
        <w:spacing w:after="0" w:line="240" w:lineRule="auto"/>
        <w:jc w:val="both"/>
        <w:rPr>
          <w:rFonts w:eastAsia="Times New Roman" w:cs="Arial"/>
          <w:bCs/>
          <w:szCs w:val="24"/>
          <w:lang w:eastAsia="hr-HR"/>
        </w:rPr>
      </w:pPr>
      <w:r w:rsidRPr="008333FA">
        <w:rPr>
          <w:rFonts w:eastAsia="Times New Roman" w:cs="Arial"/>
          <w:bCs/>
          <w:szCs w:val="24"/>
          <w:lang w:eastAsia="hr-HR"/>
        </w:rPr>
        <w:tab/>
        <w:t>Utvrđuje se da je za ovo ročište poziv vjerovnicima istaknut na e-Oglasnoj ploči suda dana 14. listopada 2024.</w:t>
      </w:r>
    </w:p>
    <w:p w:rsidRPr="008333FA" w:rsidR="008333FA" w:rsidP="008333FA" w:rsidRDefault="008333FA">
      <w:pPr>
        <w:spacing w:after="0" w:line="240" w:lineRule="auto"/>
        <w:ind w:firstLine="708"/>
        <w:jc w:val="both"/>
        <w:rPr>
          <w:rFonts w:eastAsia="Times New Roman" w:cs="Arial"/>
          <w:bCs/>
          <w:szCs w:val="24"/>
          <w:lang w:eastAsia="hr-HR"/>
        </w:rPr>
      </w:pPr>
    </w:p>
    <w:p w:rsidRPr="008333FA" w:rsidR="008333FA" w:rsidP="008333FA" w:rsidRDefault="008333FA">
      <w:pPr>
        <w:spacing w:after="0" w:line="240" w:lineRule="auto"/>
        <w:ind w:firstLine="360"/>
        <w:jc w:val="both"/>
        <w:rPr>
          <w:rFonts w:eastAsia="Times New Roman" w:cs="Arial"/>
          <w:bCs/>
          <w:szCs w:val="24"/>
          <w:lang w:eastAsia="hr-HR"/>
        </w:rPr>
      </w:pPr>
      <w:r w:rsidRPr="008333FA">
        <w:rPr>
          <w:rFonts w:eastAsia="Times New Roman" w:cs="Arial"/>
          <w:bCs/>
          <w:szCs w:val="24"/>
          <w:lang w:eastAsia="hr-HR"/>
        </w:rPr>
        <w:tab/>
        <w:t>Sutkinja utvrđuje Dnevni red kako je određen zaključkom od 14. listopada 2024</w:t>
      </w:r>
      <w:r w:rsidRPr="008333FA">
        <w:rPr>
          <w:rFonts w:eastAsia="Times New Roman" w:cs="Arial"/>
          <w:bCs/>
          <w:color w:val="7F7F7F"/>
          <w:szCs w:val="24"/>
          <w:lang w:eastAsia="hr-HR"/>
        </w:rPr>
        <w:t xml:space="preserve">. </w:t>
      </w:r>
      <w:r w:rsidRPr="008333FA">
        <w:rPr>
          <w:rFonts w:eastAsia="Times New Roman" w:cs="Arial"/>
          <w:bCs/>
          <w:szCs w:val="24"/>
          <w:lang w:eastAsia="hr-HR"/>
        </w:rPr>
        <w:t xml:space="preserve">                                                                                                                                                                                                                                                                                                                                                                                                                                                                                                                                                                                                                                                                                                                                                                                                                                                                                                                                                                                                                                                                                          </w:t>
      </w:r>
    </w:p>
    <w:p w:rsidRPr="008333FA" w:rsidR="008333FA" w:rsidP="008333FA" w:rsidRDefault="008333FA">
      <w:pPr>
        <w:spacing w:after="0" w:line="240" w:lineRule="auto"/>
        <w:ind w:firstLine="360"/>
        <w:jc w:val="both"/>
        <w:rPr>
          <w:rFonts w:eastAsia="Times New Roman" w:cs="Arial"/>
          <w:szCs w:val="24"/>
          <w:lang w:eastAsia="hr-HR"/>
        </w:rPr>
      </w:pPr>
    </w:p>
    <w:p w:rsidRPr="008333FA" w:rsidR="008333FA" w:rsidP="008333FA" w:rsidRDefault="008333FA">
      <w:pPr>
        <w:spacing w:after="0" w:line="240" w:lineRule="auto"/>
        <w:jc w:val="both"/>
        <w:rPr>
          <w:rFonts w:eastAsia="Times New Roman" w:cs="Arial"/>
          <w:bCs/>
          <w:szCs w:val="24"/>
          <w:lang w:eastAsia="hr-HR"/>
        </w:rPr>
      </w:pPr>
      <w:r w:rsidRPr="008333FA">
        <w:rPr>
          <w:rFonts w:eastAsia="Times New Roman" w:cs="Arial"/>
          <w:szCs w:val="24"/>
          <w:lang w:eastAsia="hr-HR"/>
        </w:rPr>
        <w:tab/>
        <w:t>Dnevni red današnje Skupštine vjerovnika je:</w:t>
      </w:r>
    </w:p>
    <w:p w:rsidRPr="008333FA" w:rsidR="008333FA" w:rsidP="008333FA" w:rsidRDefault="008333FA">
      <w:pPr>
        <w:spacing w:after="0" w:line="240" w:lineRule="auto"/>
        <w:ind w:firstLine="708"/>
        <w:jc w:val="both"/>
        <w:rPr>
          <w:rFonts w:eastAsia="Times New Roman" w:cs="Arial"/>
          <w:szCs w:val="24"/>
          <w:lang w:eastAsia="hr-HR"/>
        </w:rPr>
      </w:pPr>
      <w:r w:rsidRPr="008333FA">
        <w:rPr>
          <w:rFonts w:eastAsia="Times New Roman" w:cs="Arial"/>
          <w:szCs w:val="24"/>
          <w:lang w:eastAsia="hr-HR"/>
        </w:rPr>
        <w:t>1.</w:t>
      </w:r>
      <w:r w:rsidRPr="008333FA">
        <w:rPr>
          <w:rFonts w:eastAsia="Times New Roman" w:cs="Arial"/>
          <w:szCs w:val="24"/>
          <w:lang w:eastAsia="hr-HR"/>
        </w:rPr>
        <w:tab/>
        <w:t>Izvješće stečajnog upravitelja o stanju stečajne mase.</w:t>
      </w:r>
    </w:p>
    <w:p w:rsidRPr="008333FA" w:rsidR="008333FA" w:rsidP="008333FA" w:rsidRDefault="008333FA">
      <w:pPr>
        <w:spacing w:after="0" w:line="240" w:lineRule="auto"/>
        <w:ind w:firstLine="708"/>
        <w:jc w:val="both"/>
        <w:rPr>
          <w:rFonts w:eastAsia="Times New Roman" w:cs="Arial"/>
          <w:szCs w:val="24"/>
          <w:lang w:eastAsia="hr-HR"/>
        </w:rPr>
      </w:pPr>
      <w:r w:rsidRPr="008333FA">
        <w:rPr>
          <w:rFonts w:eastAsia="Times New Roman" w:cs="Arial"/>
          <w:szCs w:val="24"/>
          <w:lang w:eastAsia="hr-HR"/>
        </w:rPr>
        <w:t>2.</w:t>
      </w:r>
      <w:r w:rsidRPr="008333FA">
        <w:rPr>
          <w:rFonts w:eastAsia="Times New Roman" w:cs="Arial"/>
          <w:szCs w:val="24"/>
          <w:lang w:eastAsia="hr-HR"/>
        </w:rPr>
        <w:tab/>
        <w:t>Donošenje odluke o unovčenju vozila stečajnog dužnika oznake N1, marka VOLKSWAGEN CRAFTER 2.5 TDI, godina proizvodnje 2007., broj šasije WV1ZZZ2EZ76021539.</w:t>
      </w:r>
    </w:p>
    <w:p w:rsidRPr="008333FA" w:rsidR="008333FA" w:rsidP="008333FA" w:rsidRDefault="008333FA">
      <w:pPr>
        <w:spacing w:after="0" w:line="240" w:lineRule="auto"/>
        <w:ind w:left="708"/>
        <w:jc w:val="both"/>
        <w:rPr>
          <w:rFonts w:eastAsia="Times New Roman" w:cs="Arial"/>
          <w:szCs w:val="24"/>
          <w:lang w:eastAsia="hr-HR"/>
        </w:rPr>
      </w:pPr>
      <w:r w:rsidRPr="008333FA">
        <w:rPr>
          <w:rFonts w:eastAsia="Times New Roman" w:cs="Arial"/>
          <w:szCs w:val="24"/>
          <w:lang w:eastAsia="hr-HR"/>
        </w:rPr>
        <w:t>3.</w:t>
      </w:r>
      <w:r w:rsidRPr="008333FA">
        <w:rPr>
          <w:rFonts w:eastAsia="Times New Roman" w:cs="Arial"/>
          <w:szCs w:val="24"/>
          <w:lang w:eastAsia="hr-HR"/>
        </w:rPr>
        <w:tab/>
        <w:t>Razno.</w:t>
      </w:r>
    </w:p>
    <w:p w:rsidRPr="008333FA" w:rsidR="008333FA" w:rsidP="008333FA" w:rsidRDefault="008333FA">
      <w:pPr>
        <w:spacing w:after="0" w:line="240" w:lineRule="auto"/>
        <w:ind w:firstLine="708"/>
        <w:jc w:val="both"/>
        <w:rPr>
          <w:rFonts w:eastAsia="Times New Roman" w:cs="Arial"/>
          <w:bCs/>
          <w:color w:val="76923C"/>
          <w:szCs w:val="24"/>
          <w:lang w:eastAsia="hr-HR"/>
        </w:rPr>
      </w:pPr>
    </w:p>
    <w:p w:rsidRPr="008333FA" w:rsidR="008333FA" w:rsidP="008333FA" w:rsidRDefault="008333FA">
      <w:pPr>
        <w:spacing w:after="0" w:line="240" w:lineRule="auto"/>
        <w:ind w:firstLine="708"/>
        <w:jc w:val="both"/>
        <w:rPr>
          <w:rFonts w:eastAsia="Times New Roman" w:cs="Arial"/>
          <w:bCs/>
          <w:szCs w:val="24"/>
          <w:lang w:eastAsia="hr-HR"/>
        </w:rPr>
      </w:pPr>
      <w:r w:rsidRPr="008333FA">
        <w:rPr>
          <w:rFonts w:eastAsia="Times New Roman" w:cs="Arial"/>
          <w:bCs/>
          <w:szCs w:val="24"/>
          <w:lang w:eastAsia="hr-HR"/>
        </w:rPr>
        <w:t>Prelazi se na točku 1. dnevnog reda:</w:t>
      </w:r>
    </w:p>
    <w:p w:rsidRPr="008333FA" w:rsidR="008333FA" w:rsidP="008333FA" w:rsidRDefault="00E200A3">
      <w:pPr>
        <w:spacing w:after="0" w:line="240" w:lineRule="auto"/>
        <w:ind w:firstLine="708"/>
        <w:jc w:val="both"/>
        <w:rPr>
          <w:rFonts w:eastAsia="Times New Roman" w:cs="Arial"/>
          <w:bCs/>
          <w:szCs w:val="24"/>
          <w:lang w:eastAsia="hr-HR"/>
        </w:rPr>
      </w:pPr>
      <w:r>
        <w:rPr>
          <w:rFonts w:eastAsia="Times New Roman" w:cs="Arial"/>
          <w:bCs/>
          <w:szCs w:val="24"/>
          <w:lang w:eastAsia="hr-HR"/>
        </w:rPr>
        <w:t>Vjerovnik Republika Hrvatska prihvaća izvješće stečajne upraviteljice iz podneska od 10. listopada 2024.</w:t>
      </w:r>
    </w:p>
    <w:p w:rsidRPr="008333FA" w:rsidR="008333FA" w:rsidP="008333FA" w:rsidRDefault="008333FA">
      <w:pPr>
        <w:spacing w:after="0" w:line="240" w:lineRule="auto"/>
        <w:ind w:firstLine="708"/>
        <w:jc w:val="both"/>
        <w:rPr>
          <w:rFonts w:eastAsia="Times New Roman" w:cs="Arial"/>
          <w:bCs/>
          <w:szCs w:val="24"/>
          <w:lang w:eastAsia="hr-HR"/>
        </w:rPr>
      </w:pPr>
    </w:p>
    <w:p w:rsidR="008333FA" w:rsidP="008333FA" w:rsidRDefault="008333FA">
      <w:pPr>
        <w:spacing w:after="0" w:line="240" w:lineRule="auto"/>
        <w:ind w:firstLine="708"/>
        <w:jc w:val="both"/>
        <w:rPr>
          <w:rFonts w:eastAsia="Times New Roman" w:cs="Arial"/>
          <w:bCs/>
          <w:szCs w:val="24"/>
          <w:lang w:eastAsia="hr-HR"/>
        </w:rPr>
      </w:pPr>
      <w:r w:rsidRPr="008333FA">
        <w:rPr>
          <w:rFonts w:eastAsia="Times New Roman" w:cs="Arial"/>
          <w:bCs/>
          <w:szCs w:val="24"/>
          <w:lang w:eastAsia="hr-HR"/>
        </w:rPr>
        <w:t>Prelazi se na točku 2. dnevnog reda:</w:t>
      </w:r>
    </w:p>
    <w:p w:rsidR="00695264" w:rsidP="008333FA" w:rsidRDefault="00E200A3">
      <w:pPr>
        <w:spacing w:after="0" w:line="240" w:lineRule="auto"/>
        <w:ind w:firstLine="708"/>
        <w:jc w:val="both"/>
        <w:rPr>
          <w:rFonts w:eastAsia="Times New Roman" w:cs="Arial"/>
          <w:bCs/>
          <w:szCs w:val="24"/>
          <w:lang w:eastAsia="hr-HR"/>
        </w:rPr>
      </w:pPr>
      <w:r>
        <w:rPr>
          <w:rFonts w:eastAsia="Times New Roman" w:cs="Arial"/>
          <w:bCs/>
          <w:szCs w:val="24"/>
          <w:lang w:eastAsia="hr-HR"/>
        </w:rPr>
        <w:t>Vjerovnik Republika Hrvatska donosi odluku da se kao početna</w:t>
      </w:r>
      <w:r w:rsidR="00695264">
        <w:rPr>
          <w:rFonts w:eastAsia="Times New Roman" w:cs="Arial"/>
          <w:bCs/>
          <w:szCs w:val="24"/>
          <w:lang w:eastAsia="hr-HR"/>
        </w:rPr>
        <w:t xml:space="preserve"> cijena vozila utvrdi iznos od 6</w:t>
      </w:r>
      <w:r>
        <w:rPr>
          <w:rFonts w:eastAsia="Times New Roman" w:cs="Arial"/>
          <w:bCs/>
          <w:szCs w:val="24"/>
          <w:lang w:eastAsia="hr-HR"/>
        </w:rPr>
        <w:t>.000,00 eura s obzirom da je u prethodnom izvješću stečajna upraviteljica cijenila predmetno vozilo znatno iznad kataloške procjene Centra za vozila Hrvatske kao i iz razloga da je u izvješću</w:t>
      </w:r>
      <w:r w:rsidR="00695264">
        <w:rPr>
          <w:rFonts w:eastAsia="Times New Roman" w:cs="Arial"/>
          <w:bCs/>
          <w:szCs w:val="24"/>
          <w:lang w:eastAsia="hr-HR"/>
        </w:rPr>
        <w:t xml:space="preserve"> od 10.10.2024.</w:t>
      </w:r>
      <w:r>
        <w:rPr>
          <w:rFonts w:eastAsia="Times New Roman" w:cs="Arial"/>
          <w:bCs/>
          <w:szCs w:val="24"/>
          <w:lang w:eastAsia="hr-HR"/>
        </w:rPr>
        <w:t xml:space="preserve"> stečajna upraviteljica n</w:t>
      </w:r>
      <w:r w:rsidR="00695264">
        <w:rPr>
          <w:rFonts w:eastAsia="Times New Roman" w:cs="Arial"/>
          <w:bCs/>
          <w:szCs w:val="24"/>
          <w:lang w:eastAsia="hr-HR"/>
        </w:rPr>
        <w:t>avela da je našla</w:t>
      </w:r>
      <w:r>
        <w:rPr>
          <w:rFonts w:eastAsia="Times New Roman" w:cs="Arial"/>
          <w:bCs/>
          <w:szCs w:val="24"/>
          <w:lang w:eastAsia="hr-HR"/>
        </w:rPr>
        <w:t xml:space="preserve"> oglase za prodaju na Njuškalo.hr u višem iznosu</w:t>
      </w:r>
      <w:r w:rsidR="00695264">
        <w:rPr>
          <w:rFonts w:eastAsia="Times New Roman" w:cs="Arial"/>
          <w:bCs/>
          <w:szCs w:val="24"/>
          <w:lang w:eastAsia="hr-HR"/>
        </w:rPr>
        <w:t xml:space="preserve"> od kataloške procjene. </w:t>
      </w:r>
    </w:p>
    <w:p w:rsidR="00695264" w:rsidP="008333FA" w:rsidRDefault="00695264">
      <w:pPr>
        <w:spacing w:after="0" w:line="240" w:lineRule="auto"/>
        <w:ind w:firstLine="708"/>
        <w:jc w:val="both"/>
        <w:rPr>
          <w:rFonts w:eastAsia="Times New Roman" w:cs="Arial"/>
          <w:bCs/>
          <w:szCs w:val="24"/>
          <w:lang w:eastAsia="hr-HR"/>
        </w:rPr>
      </w:pPr>
    </w:p>
    <w:p w:rsidR="008333FA" w:rsidP="008333FA" w:rsidRDefault="00695264">
      <w:pPr>
        <w:spacing w:after="0" w:line="240" w:lineRule="auto"/>
        <w:ind w:firstLine="708"/>
        <w:jc w:val="both"/>
        <w:rPr>
          <w:rFonts w:eastAsia="Times New Roman" w:cs="Arial"/>
          <w:bCs/>
          <w:szCs w:val="24"/>
          <w:lang w:eastAsia="hr-HR"/>
        </w:rPr>
      </w:pPr>
      <w:r>
        <w:rPr>
          <w:rFonts w:eastAsia="Times New Roman" w:cs="Arial"/>
          <w:bCs/>
          <w:szCs w:val="24"/>
          <w:lang w:eastAsia="hr-HR"/>
        </w:rPr>
        <w:t>Nadalje</w:t>
      </w:r>
      <w:r w:rsidR="00E200A3">
        <w:rPr>
          <w:rFonts w:eastAsia="Times New Roman" w:cs="Arial"/>
          <w:bCs/>
          <w:szCs w:val="24"/>
          <w:lang w:eastAsia="hr-HR"/>
        </w:rPr>
        <w:t xml:space="preserve"> </w:t>
      </w:r>
      <w:r>
        <w:rPr>
          <w:rFonts w:eastAsia="Times New Roman" w:cs="Arial"/>
          <w:bCs/>
          <w:szCs w:val="24"/>
          <w:lang w:eastAsia="hr-HR"/>
        </w:rPr>
        <w:t>Vjerovnik Republika Hrvatska donosi odluku da se prodaja vozila oglašava putem besplatnih oglašivača i da se u slučaju neuspješne prodaje, kod svake sljedeće prodaje cijena umanjuje za 20% s obzirom na troškove čuvanja vozila. Cijena se može umanjivati do iznosa od 2.500,00 eura. Ukoliko se do tog iznosa vozilo ne unovči tada se predlaže zakazati novu skupštinu radi donošenja daljnje odluke o unovčenju vozila.</w:t>
      </w:r>
    </w:p>
    <w:p w:rsidR="008333FA" w:rsidP="008333FA" w:rsidRDefault="008333FA">
      <w:pPr>
        <w:spacing w:after="0" w:line="240" w:lineRule="auto"/>
        <w:ind w:firstLine="708"/>
        <w:jc w:val="both"/>
        <w:rPr>
          <w:rFonts w:eastAsia="Times New Roman" w:cs="Arial"/>
          <w:bCs/>
          <w:szCs w:val="24"/>
          <w:lang w:eastAsia="hr-HR"/>
        </w:rPr>
      </w:pPr>
    </w:p>
    <w:p w:rsidRPr="008333FA" w:rsidR="008333FA" w:rsidP="008333FA" w:rsidRDefault="008333FA">
      <w:pPr>
        <w:spacing w:after="0" w:line="240" w:lineRule="auto"/>
        <w:ind w:firstLine="708"/>
        <w:jc w:val="both"/>
        <w:rPr>
          <w:rFonts w:eastAsia="Times New Roman" w:cs="Arial"/>
          <w:bCs/>
          <w:szCs w:val="24"/>
          <w:lang w:eastAsia="hr-HR"/>
        </w:rPr>
      </w:pPr>
      <w:r>
        <w:rPr>
          <w:rFonts w:eastAsia="Times New Roman" w:cs="Arial"/>
          <w:bCs/>
          <w:szCs w:val="24"/>
          <w:lang w:eastAsia="hr-HR"/>
        </w:rPr>
        <w:t>Prelazi se na točku 3</w:t>
      </w:r>
      <w:r w:rsidRPr="008333FA">
        <w:rPr>
          <w:rFonts w:eastAsia="Times New Roman" w:cs="Arial"/>
          <w:bCs/>
          <w:szCs w:val="24"/>
          <w:lang w:eastAsia="hr-HR"/>
        </w:rPr>
        <w:t>. dnevnog reda:</w:t>
      </w:r>
    </w:p>
    <w:p w:rsidRPr="008333FA" w:rsidR="008333FA" w:rsidP="008333FA" w:rsidRDefault="00D23E23">
      <w:pPr>
        <w:spacing w:after="0" w:line="240" w:lineRule="auto"/>
        <w:ind w:firstLine="708"/>
        <w:jc w:val="both"/>
        <w:rPr>
          <w:rFonts w:eastAsia="Times New Roman" w:cs="Arial"/>
          <w:bCs/>
          <w:szCs w:val="24"/>
          <w:lang w:eastAsia="hr-HR"/>
        </w:rPr>
      </w:pPr>
      <w:r>
        <w:rPr>
          <w:rFonts w:eastAsia="Times New Roman" w:cs="Arial"/>
          <w:bCs/>
          <w:szCs w:val="24"/>
          <w:lang w:eastAsia="hr-HR"/>
        </w:rPr>
        <w:t>Nema navoda.</w:t>
      </w:r>
    </w:p>
    <w:p w:rsidRPr="008333FA" w:rsidR="008333FA" w:rsidP="00D23E23"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ind w:left="708" w:firstLine="1"/>
        <w:rPr>
          <w:rFonts w:eastAsia="Times New Roman" w:cs="Arial"/>
          <w:bCs/>
          <w:szCs w:val="24"/>
          <w:lang w:eastAsia="hr-HR"/>
        </w:rPr>
      </w:pPr>
    </w:p>
    <w:p w:rsidRPr="008333FA" w:rsidR="008333FA" w:rsidP="008333FA" w:rsidRDefault="008333FA">
      <w:pPr>
        <w:spacing w:after="0" w:line="240" w:lineRule="auto"/>
        <w:ind w:left="708" w:firstLine="1"/>
        <w:rPr>
          <w:rFonts w:eastAsia="Times New Roman" w:cs="Arial"/>
          <w:bCs/>
          <w:szCs w:val="24"/>
          <w:lang w:eastAsia="hr-HR"/>
        </w:rPr>
      </w:pPr>
    </w:p>
    <w:p w:rsidRPr="00D23E23" w:rsidR="008333FA" w:rsidP="008333FA" w:rsidRDefault="008333FA">
      <w:pPr>
        <w:tabs>
          <w:tab w:val="left" w:pos="0"/>
        </w:tabs>
        <w:spacing w:after="0" w:line="240" w:lineRule="atLeast"/>
        <w:jc w:val="both"/>
        <w:rPr>
          <w:rFonts w:eastAsia="Times New Roman" w:cs="Arial"/>
          <w:bCs/>
          <w:szCs w:val="24"/>
          <w:lang w:eastAsia="hr-HR"/>
        </w:rPr>
      </w:pPr>
      <w:r w:rsidRPr="00D23E23">
        <w:rPr>
          <w:rFonts w:eastAsia="Times New Roman" w:cs="Arial"/>
          <w:bCs/>
          <w:szCs w:val="24"/>
          <w:lang w:eastAsia="hr-HR"/>
        </w:rPr>
        <w:tab/>
        <w:t>S obzirom da se roč</w:t>
      </w:r>
      <w:r w:rsidR="00D23E23">
        <w:rPr>
          <w:rFonts w:eastAsia="Times New Roman" w:cs="Arial"/>
          <w:bCs/>
          <w:szCs w:val="24"/>
          <w:lang w:eastAsia="hr-HR"/>
        </w:rPr>
        <w:t>ište održava na daljinu, nazočna</w:t>
      </w:r>
      <w:r w:rsidRPr="00D23E23">
        <w:rPr>
          <w:rFonts w:eastAsia="Times New Roman" w:cs="Arial"/>
          <w:bCs/>
          <w:szCs w:val="24"/>
          <w:lang w:eastAsia="hr-HR"/>
        </w:rPr>
        <w:t xml:space="preserve"> potvrđuju da su</w:t>
      </w:r>
      <w:r w:rsidR="00D23E23">
        <w:rPr>
          <w:rFonts w:eastAsia="Times New Roman" w:cs="Arial"/>
          <w:bCs/>
          <w:szCs w:val="24"/>
          <w:lang w:eastAsia="hr-HR"/>
        </w:rPr>
        <w:t xml:space="preserve"> tijek sastava zapisnika pratile</w:t>
      </w:r>
      <w:r w:rsidRPr="00D23E23">
        <w:rPr>
          <w:rFonts w:eastAsia="Times New Roman" w:cs="Arial"/>
          <w:bCs/>
          <w:szCs w:val="24"/>
          <w:lang w:eastAsia="hr-HR"/>
        </w:rPr>
        <w:t xml:space="preserve"> putem zvučnika na svojim računalima te da nemaju prigovora na sastav zapisnika</w:t>
      </w:r>
      <w:r w:rsidRPr="00D23E23" w:rsidR="00505F66">
        <w:rPr>
          <w:rFonts w:eastAsia="Times New Roman" w:cs="Arial"/>
          <w:bCs/>
          <w:szCs w:val="24"/>
          <w:lang w:eastAsia="hr-HR"/>
        </w:rPr>
        <w:t xml:space="preserve"> koji neće potpisivati a objaviti će se na e-Oglasnoj ploči suda</w:t>
      </w:r>
      <w:r w:rsidRPr="00D23E23">
        <w:rPr>
          <w:rFonts w:eastAsia="Times New Roman" w:cs="Arial"/>
          <w:bCs/>
          <w:szCs w:val="24"/>
          <w:lang w:eastAsia="hr-HR"/>
        </w:rPr>
        <w:t>.</w:t>
      </w:r>
    </w:p>
    <w:p w:rsidRPr="008333FA" w:rsidR="008333FA" w:rsidP="008333FA" w:rsidRDefault="008333FA">
      <w:pPr>
        <w:tabs>
          <w:tab w:val="left" w:pos="0"/>
        </w:tabs>
        <w:spacing w:after="0" w:line="240" w:lineRule="atLeast"/>
        <w:jc w:val="both"/>
        <w:rPr>
          <w:rFonts w:eastAsia="Times New Roman" w:cs="Arial"/>
          <w:bCs/>
          <w:color w:val="808080"/>
          <w:szCs w:val="24"/>
          <w:lang w:eastAsia="hr-HR"/>
        </w:rPr>
      </w:pPr>
    </w:p>
    <w:p w:rsidR="008333FA" w:rsidP="008333FA" w:rsidRDefault="008333FA">
      <w:pPr>
        <w:spacing w:after="0" w:line="240" w:lineRule="auto"/>
        <w:ind w:left="708" w:firstLine="1"/>
        <w:rPr>
          <w:rFonts w:eastAsia="Times New Roman" w:cs="Arial"/>
          <w:bCs/>
          <w:szCs w:val="24"/>
          <w:lang w:eastAsia="hr-HR"/>
        </w:rPr>
      </w:pPr>
    </w:p>
    <w:p w:rsidRPr="008333FA" w:rsidR="00D23E23" w:rsidP="008333FA" w:rsidRDefault="00D23E23">
      <w:pPr>
        <w:spacing w:after="0" w:line="240" w:lineRule="auto"/>
        <w:ind w:left="708" w:firstLine="1"/>
        <w:rPr>
          <w:rFonts w:eastAsia="Times New Roman" w:cs="Arial"/>
          <w:bCs/>
          <w:szCs w:val="24"/>
          <w:lang w:eastAsia="hr-HR"/>
        </w:rPr>
      </w:pPr>
    </w:p>
    <w:p w:rsidRPr="008333FA" w:rsidR="008333FA" w:rsidP="008333FA" w:rsidRDefault="008333FA">
      <w:pPr>
        <w:spacing w:after="0" w:line="240" w:lineRule="auto"/>
        <w:ind w:left="708" w:firstLine="1"/>
        <w:rPr>
          <w:rFonts w:eastAsia="Times New Roman" w:cs="Arial"/>
          <w:bCs/>
          <w:szCs w:val="24"/>
          <w:lang w:eastAsia="hr-HR"/>
        </w:rPr>
      </w:pPr>
    </w:p>
    <w:p w:rsidRPr="008333FA" w:rsidR="008333FA" w:rsidP="008333FA" w:rsidRDefault="008333FA">
      <w:pPr>
        <w:spacing w:after="0" w:line="240" w:lineRule="auto"/>
        <w:ind w:left="2832" w:firstLine="708"/>
        <w:rPr>
          <w:rFonts w:eastAsia="Times New Roman" w:cs="Arial"/>
          <w:bCs/>
          <w:szCs w:val="24"/>
          <w:lang w:eastAsia="hr-HR"/>
        </w:rPr>
      </w:pPr>
      <w:r w:rsidRPr="008333FA">
        <w:rPr>
          <w:rFonts w:eastAsia="Times New Roman" w:cs="Arial"/>
          <w:bCs/>
          <w:szCs w:val="24"/>
          <w:lang w:eastAsia="hr-HR"/>
        </w:rPr>
        <w:t xml:space="preserve">  Dovršeno u </w:t>
      </w:r>
      <w:r w:rsidR="00D23E23">
        <w:rPr>
          <w:rFonts w:eastAsia="Times New Roman" w:cs="Arial"/>
          <w:bCs/>
          <w:szCs w:val="24"/>
          <w:lang w:eastAsia="hr-HR"/>
        </w:rPr>
        <w:t>10</w:t>
      </w:r>
      <w:r w:rsidRPr="008333FA">
        <w:rPr>
          <w:rFonts w:eastAsia="Times New Roman" w:cs="Arial"/>
          <w:bCs/>
          <w:szCs w:val="24"/>
          <w:lang w:eastAsia="hr-HR"/>
        </w:rPr>
        <w:t>:</w:t>
      </w:r>
      <w:r w:rsidR="00D23E23">
        <w:rPr>
          <w:rFonts w:eastAsia="Times New Roman" w:cs="Arial"/>
          <w:bCs/>
          <w:szCs w:val="24"/>
          <w:lang w:eastAsia="hr-HR"/>
        </w:rPr>
        <w:t>30</w:t>
      </w:r>
      <w:r w:rsidRPr="008333FA">
        <w:rPr>
          <w:rFonts w:eastAsia="Times New Roman" w:cs="Arial"/>
          <w:bCs/>
          <w:szCs w:val="24"/>
          <w:lang w:eastAsia="hr-HR"/>
        </w:rPr>
        <w:t xml:space="preserve"> sati.</w:t>
      </w: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r w:rsidRPr="008333FA">
        <w:rPr>
          <w:rFonts w:eastAsia="Times New Roman" w:cs="Arial"/>
          <w:bCs/>
          <w:szCs w:val="24"/>
          <w:lang w:eastAsia="hr-HR"/>
        </w:rPr>
        <w:t xml:space="preserve">       </w:t>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t xml:space="preserve">       Sutkinja            </w:t>
      </w:r>
      <w:r>
        <w:rPr>
          <w:rFonts w:eastAsia="Times New Roman" w:cs="Arial"/>
          <w:bCs/>
          <w:szCs w:val="24"/>
          <w:lang w:eastAsia="hr-HR"/>
        </w:rPr>
        <w:tab/>
        <w:t xml:space="preserve">                 Stečajna</w:t>
      </w:r>
      <w:r w:rsidRPr="008333FA">
        <w:rPr>
          <w:rFonts w:eastAsia="Times New Roman" w:cs="Arial"/>
          <w:bCs/>
          <w:szCs w:val="24"/>
          <w:lang w:eastAsia="hr-HR"/>
        </w:rPr>
        <w:t xml:space="preserve"> upravitelj</w:t>
      </w:r>
      <w:r>
        <w:rPr>
          <w:rFonts w:eastAsia="Times New Roman" w:cs="Arial"/>
          <w:bCs/>
          <w:szCs w:val="24"/>
          <w:lang w:eastAsia="hr-HR"/>
        </w:rPr>
        <w:t>ica</w:t>
      </w: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jc w:val="both"/>
        <w:rPr>
          <w:rFonts w:eastAsia="Times New Roman" w:cs="Arial"/>
          <w:bCs/>
          <w:szCs w:val="24"/>
          <w:lang w:eastAsia="hr-HR"/>
        </w:rPr>
      </w:pPr>
    </w:p>
    <w:p w:rsidRPr="008333FA" w:rsidR="008333FA" w:rsidP="008333FA" w:rsidRDefault="008333FA">
      <w:pPr>
        <w:spacing w:after="0" w:line="240" w:lineRule="auto"/>
        <w:rPr>
          <w:rFonts w:eastAsia="Times New Roman" w:cs="Arial"/>
          <w:bCs/>
          <w:szCs w:val="24"/>
          <w:lang w:eastAsia="hr-HR"/>
        </w:rPr>
      </w:pPr>
      <w:r w:rsidRPr="008333FA">
        <w:rPr>
          <w:rFonts w:eastAsia="Times New Roman" w:cs="Arial"/>
          <w:bCs/>
          <w:szCs w:val="24"/>
          <w:lang w:eastAsia="hr-HR"/>
        </w:rPr>
        <w:t xml:space="preserve">    </w:t>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r>
      <w:r w:rsidRPr="008333FA">
        <w:rPr>
          <w:rFonts w:eastAsia="Times New Roman" w:cs="Arial"/>
          <w:bCs/>
          <w:szCs w:val="24"/>
          <w:lang w:eastAsia="hr-HR"/>
        </w:rPr>
        <w:tab/>
        <w:t xml:space="preserve">   Zapisničarka</w:t>
      </w:r>
      <w:r w:rsidRPr="008333FA">
        <w:rPr>
          <w:rFonts w:eastAsia="Times New Roman" w:cs="Arial"/>
          <w:bCs/>
          <w:szCs w:val="24"/>
          <w:lang w:eastAsia="hr-HR"/>
        </w:rPr>
        <w:tab/>
        <w:t xml:space="preserve">     </w:t>
      </w:r>
      <w:r w:rsidRPr="008333FA">
        <w:rPr>
          <w:rFonts w:eastAsia="Times New Roman" w:cs="Arial"/>
          <w:bCs/>
          <w:szCs w:val="24"/>
          <w:lang w:eastAsia="hr-HR"/>
        </w:rPr>
        <w:tab/>
        <w:t xml:space="preserve">          Vjerovnici</w:t>
      </w:r>
      <w:r w:rsidRPr="008333FA">
        <w:rPr>
          <w:rFonts w:eastAsia="Times New Roman" w:cs="Arial"/>
          <w:bCs/>
          <w:szCs w:val="24"/>
          <w:lang w:eastAsia="hr-HR"/>
        </w:rPr>
        <w:tab/>
      </w:r>
    </w:p>
    <w:p w:rsidRPr="008333FA" w:rsidR="008333FA" w:rsidP="008333FA" w:rsidRDefault="008333FA">
      <w:pPr>
        <w:spacing w:after="0" w:line="240" w:lineRule="auto"/>
        <w:rPr>
          <w:rFonts w:eastAsia="Times New Roman" w:cs="Arial"/>
          <w:bCs/>
          <w:szCs w:val="24"/>
          <w:lang w:eastAsia="hr-HR"/>
        </w:rPr>
      </w:pPr>
    </w:p>
    <w:p w:rsidRPr="008333FA" w:rsidR="008333FA" w:rsidP="008333FA" w:rsidRDefault="008333FA">
      <w:pPr>
        <w:spacing w:after="0" w:line="240" w:lineRule="auto"/>
        <w:rPr>
          <w:rFonts w:eastAsia="Times New Roman" w:cs="Arial"/>
          <w:bCs/>
          <w:szCs w:val="24"/>
          <w:lang w:eastAsia="hr-HR"/>
        </w:rPr>
      </w:pPr>
    </w:p>
    <w:p w:rsidRPr="008333FA" w:rsidR="008333FA" w:rsidP="008333FA" w:rsidRDefault="008333FA">
      <w:pPr>
        <w:spacing w:after="0" w:line="240" w:lineRule="auto"/>
        <w:rPr>
          <w:rFonts w:eastAsia="Times New Roman" w:cs="Arial"/>
          <w:bCs/>
          <w:szCs w:val="24"/>
          <w:lang w:eastAsia="hr-HR"/>
        </w:rPr>
      </w:pPr>
    </w:p>
    <w:p w:rsidRPr="008333FA" w:rsidR="008333FA" w:rsidP="008333FA" w:rsidRDefault="008333FA">
      <w:pPr>
        <w:spacing w:after="0" w:line="240" w:lineRule="auto"/>
        <w:rPr>
          <w:rFonts w:eastAsia="Times New Roman" w:cs="Arial"/>
          <w:bCs/>
          <w:szCs w:val="24"/>
          <w:lang w:eastAsia="hr-HR"/>
        </w:rPr>
      </w:pPr>
    </w:p>
    <w:p w:rsidRPr="008333FA" w:rsidR="008333FA" w:rsidP="008333FA" w:rsidRDefault="008333FA">
      <w:pPr>
        <w:spacing w:after="0" w:line="240" w:lineRule="auto"/>
        <w:rPr>
          <w:rFonts w:eastAsia="Times New Roman" w:cs="Arial"/>
          <w:bCs/>
          <w:szCs w:val="24"/>
          <w:lang w:eastAsia="hr-HR"/>
        </w:rPr>
      </w:pPr>
    </w:p>
    <w:p w:rsidRPr="008333FA" w:rsidR="008333FA" w:rsidP="008333FA" w:rsidRDefault="008333FA">
      <w:pPr>
        <w:spacing w:after="0" w:line="240" w:lineRule="auto"/>
        <w:rPr>
          <w:rFonts w:eastAsia="Times New Roman" w:cs="Arial"/>
          <w:bCs/>
          <w:szCs w:val="24"/>
          <w:lang w:eastAsia="hr-HR"/>
        </w:rPr>
      </w:pPr>
    </w:p>
    <w:p w:rsidR="002410FA" w:rsidRDefault="002410FA"/>
    <w:sectPr w:rsidR="002410FA" w:rsidSect="00FF2C6B">
      <w:headerReference w:type="even" r:id="rId7"/>
      <w:headerReference w:type="default" r:id="rId8"/>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8333FA" w:rsidP="008333FA" w:rsidRDefault="008333FA">
      <w:pPr>
        <w:spacing w:after="0" w:line="240" w:lineRule="auto"/>
      </w:pPr>
      <w:r>
        <w:separator/>
      </w:r>
    </w:p>
  </w:endnote>
  <w:endnote w:type="continuationSeparator" w:id="0">
    <w:p w:rsidR="008333FA" w:rsidP="008333FA" w:rsidRDefault="008333FA">
      <w:pPr>
        <w:spacing w:after="0" w:line="240" w:lineRule="auto"/>
      </w:pPr>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8333FA" w:rsidP="008333FA" w:rsidRDefault="008333FA">
      <w:pPr>
        <w:spacing w:after="0" w:line="240" w:lineRule="auto"/>
      </w:pPr>
      <w:r>
        <w:separator/>
      </w:r>
    </w:p>
  </w:footnote>
  <w:footnote w:type="continuationSeparator" w:id="0">
    <w:p w:rsidR="008333FA" w:rsidP="008333FA" w:rsidRDefault="008333FA">
      <w:pPr>
        <w:spacing w:after="0" w:line="240" w:lineRule="auto"/>
      </w:pPr>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8333FA">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7B1BA3">
    <w:pPr>
      <w:pStyle w:val="Zaglavlje"/>
    </w:pPr>
  </w:p>
</w:hdr>
</file>

<file path=word/header2.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8333FA">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7B1BA3">
      <w:rPr>
        <w:rStyle w:val="Brojstranice"/>
        <w:noProof/>
      </w:rPr>
      <w:t>2</w:t>
    </w:r>
    <w:r w:rsidRPr="000A1600">
      <w:rPr>
        <w:rStyle w:val="Brojstranice"/>
      </w:rPr>
      <w:fldChar w:fldCharType="end"/>
    </w:r>
  </w:p>
  <w:p w:rsidRPr="008333FA" w:rsidR="0037515D" w:rsidP="008333FA" w:rsidRDefault="008333FA">
    <w:r w:rsidRPr="008333FA">
      <w:tab/>
    </w:r>
    <w:r w:rsidRPr="008333FA">
      <w:tab/>
    </w:r>
    <w:r>
      <w:tab/>
    </w:r>
    <w:r>
      <w:tab/>
    </w:r>
    <w:r>
      <w:tab/>
    </w:r>
    <w:r>
      <w:tab/>
    </w:r>
    <w:r>
      <w:tab/>
    </w:r>
    <w:r>
      <w:tab/>
    </w:r>
    <w:r>
      <w:tab/>
    </w:r>
    <w:r>
      <w:tab/>
      <w:t xml:space="preserve">     </w:t>
    </w:r>
    <w:r w:rsidRPr="008333FA">
      <w:t>St-349/</w:t>
    </w:r>
    <w:r w:rsidRPr="007C32D5">
      <w:t>2024-</w:t>
    </w:r>
    <w:r w:rsidR="00E200A3">
      <w:t>68</w:t>
    </w:r>
  </w:p>
  <w:p w:rsidR="00747C40" w:rsidRDefault="007B1BA3">
    <w:pPr>
      <w:pStyle w:val="Zaglavlje"/>
    </w:pP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3FA"/>
    <w:rsid w:val="002410FA"/>
    <w:rsid w:val="00505F66"/>
    <w:rsid w:val="00695264"/>
    <w:rsid w:val="007B1BA3"/>
    <w:rsid w:val="007C32D5"/>
    <w:rsid w:val="008333FA"/>
    <w:rsid w:val="00874E23"/>
    <w:rsid w:val="00D23E23"/>
    <w:rsid w:val="00E200A3"/>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C2649667-E79E-4CFB-8B91-E0D8BEDCE239}"/>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8333FA"/>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8333FA"/>
  </w:style>
  <w:style w:type="character" w:styleId="Brojstranice">
    <w:name w:val="page number"/>
    <w:basedOn w:val="Zadanifontodlomka"/>
    <w:rsid w:val="008333FA"/>
  </w:style>
  <w:style w:type="paragraph" w:styleId="Podnoje">
    <w:name w:val="footer"/>
    <w:basedOn w:val="Normal"/>
    <w:link w:val="PodnojeChar"/>
    <w:uiPriority w:val="99"/>
    <w:unhideWhenUsed/>
    <w:rsid w:val="008333FA"/>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8333FA"/>
  </w:style>
  <w:style w:type="character" w:styleId="Tekstrezerviranogmjesta">
    <w:name w:val="Placeholder Text"/>
    <w:basedOn w:val="Zadanifontodlomka"/>
    <w:uiPriority w:val="99"/>
    <w:semiHidden/>
    <w:rsid w:val="007B1BA3"/>
    <w:rPr>
      <w:color w:val="808080"/>
      <w:bdr w:val="none" w:color="auto" w:sz="0" w:space="0"/>
      <w:shd w:val="clear" w:color="auto" w:fill="auto"/>
    </w:rPr>
  </w:style>
  <w:style w:type="character" w:styleId="eSPISCCParagraphDefaultFont" w:customStyle="true">
    <w:name w:val="eSPIS_CC_Paragraph Default Font"/>
    <w:basedOn w:val="Zadanifontodlomka"/>
    <w:rsid w:val="007B1BA3"/>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7B1BA3"/>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7B1BA3"/>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7B1BA3"/>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7. studenog 2024.</izvorni_sadrzaj>
    <derivirana_varijabla naziv="DomainObject.StvarniPocetakDatum_1">7. studenog 2024.</derivirana_varijabla>
  </DomainObject.StvarniPocetakDatum>
  <DomainObject.StvarniZavrsetakDatum>
    <izvorni_sadrzaj>7. studenog 2024.</izvorni_sadrzaj>
    <derivirana_varijabla naziv="DomainObject.StvarniZavrsetakDatum_1">7. studenog 2024.</derivirana_varijabla>
  </DomainObject.StvarniZavrsetakDatum>
  <DomainObject.PlaniraniZavrsetakDatum>
    <izvorni_sadrzaj>7. studenog 2024.</izvorni_sadrzaj>
    <derivirana_varijabla naziv="DomainObject.PlaniraniZavrsetakDatum_1">7. studenog 2024.</derivirana_varijabla>
  </DomainObject.PlaniraniZavrsetakDatum>
  <DomainObject.PlaniraniPocetakDatum>
    <izvorni_sadrzaj>7. studenog 2024.</izvorni_sadrzaj>
    <derivirana_varijabla naziv="DomainObject.PlaniraniPocetakDatum_1">7. studenog 2024.</derivirana_varijabla>
  </DomainObject.PlaniraniPocetakDatum>
  <DomainObject.StvarniPocetakVrijeme>
    <izvorni_sadrzaj>10:15</izvorni_sadrzaj>
    <derivirana_varijabla naziv="DomainObject.StvarniPocetakVrijeme_1">10:15</derivirana_varijabla>
  </DomainObject.StvarniPocetakVrijeme>
  <DomainObject.StvarniZavrsetakVrijeme>
    <izvorni_sadrzaj>10:30</izvorni_sadrzaj>
    <derivirana_varijabla naziv="DomainObject.StvarniZavrsetakVrijeme_1">10:30</derivirana_varijabla>
  </DomainObject.StvarniZavrsetakVrijeme>
  <DomainObject.PlaniraniZavrsetakVrijeme>
    <izvorni_sadrzaj>10:20</izvorni_sadrzaj>
    <derivirana_varijabla naziv="DomainObject.PlaniraniZavrsetakVrijeme_1">10:20</derivirana_varijabla>
  </DomainObject.PlaniraniZavrsetakVrijeme>
  <DomainObject.PlaniraniPocetakVrijeme>
    <izvorni_sadrzaj>10:15</izvorni_sadrzaj>
    <derivirana_varijabla naziv="DomainObject.PlaniraniPocetakVrijeme_1">10:15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7. studenog 2024.</izvorni_sadrzaj>
    <derivirana_varijabla naziv="DomainObject.Zapisnik.DatumKreiranja_1">7. studenog 2024.</derivirana_varijabla>
  </DomainObject.Zapisnik.DatumKreiranja>
  <DomainObject.Zapisnik.ImovinskaKorist>
    <izvorni_sadrzaj/>
    <derivirana_varijabla naziv="DomainObject.Zapisnik.ImovinskaKorist_1"/>
  </DomainObject.Zapisnik.ImovinskaKorist>
  <DomainObject.Zapisnik.Oznaka>
    <izvorni_sadrzaj>St-349/2024-68</izvorni_sadrzaj>
    <derivirana_varijabla naziv="DomainObject.Zapisnik.Oznaka_1">St-349/2024-68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izvorni_sadrzaj>
    <derivirana_varijabla naziv="DomainObject.Predmet.Broj_1">349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listopada 2024.</izvorni_sadrzaj>
    <derivirana_varijabla naziv="DomainObject.Predmet.DatumOsnivanja_1">14. listopada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NOVI BROJ NAKNADNA DIOBA</izvorni_sadrzaj>
    <derivirana_varijabla naziv="DomainObject.Predmet.Opis_1">NOVI BROJ 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St-349/2024</izvorni_sadrzaj>
    <derivirana_varijabla naziv="DomainObject.Predmet.OznakaBroj_1">St-349/2024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Stečajna masa iza AUDAX TIM jednostavno društvo s ograničenom odgovornošću za građevinu i usluge u stečaju</izvorni_sadrzaj>
    <derivirana_varijabla naziv="DomainObject.Predmet.ProtustrankaFormated_1">  Stečajna masa iza AUDAX TIM jednostavno društvo s ograničenom odgovornošću za građevinu i usluge u stečaju</derivirana_varijabla>
  </DomainObject.Predmet.ProtustrankaFormated>
  <DomainObject.Predmet.ProtustrankaFormatedOIB>
    <izvorni_sadrzaj>  Stečajna masa iza AUDAX TIM jednostavno društvo s ograničenom odgovornošću za građevinu i usluge u stečaju, OIB 56636823183</izvorni_sadrzaj>
    <derivirana_varijabla naziv="DomainObject.Predmet.ProtustrankaFormatedOIB_1">  Stečajna masa iza AUDAX TIM jednostavno društvo s ograničenom odgovornošću za građevinu i usluge u stečaju, OIB 56636823183</derivirana_varijabla>
  </DomainObject.Predmet.ProtustrankaFormatedOIB>
  <DomainObject.Predmet.ProtustrankaFormatedWithAdress>
    <izvorni_sadrzaj> Stečajna masa iza AUDAX TIM jednostavno društvo s ograničenom odgovornošću za građevinu i usluge u stečaju, Kralja Tomislava 10, 47000 Karlovac</izvorni_sadrzaj>
    <derivirana_varijabla naziv="DomainObject.Predmet.ProtustrankaFormatedWithAdress_1"> Stečajna masa iza AUDAX TIM jednostavno društvo s ograničenom odgovornošću za građevinu i usluge u stečaju, Kralja Tomislava 10, 47000 Karlovac</derivirana_varijabla>
  </DomainObject.Predmet.ProtustrankaFormatedWithAdress>
  <DomainObject.Predmet.ProtustrankaFormatedWithAdressOIB>
    <izvorni_sadrzaj> Stečajna masa iza AUDAX TIM jednostavno društvo s ograničenom odgovornošću za građevinu i usluge u stečaju, OIB 56636823183, Kralja Tomislava 10, 47000 Karlovac</izvorni_sadrzaj>
    <derivirana_varijabla naziv="DomainObject.Predmet.ProtustrankaFormatedWithAdressOIB_1"> Stečajna masa iza AUDAX TIM jednostavno društvo s ograničenom odgovornošću za građevinu i usluge u stečaju, OIB 56636823183, Kralja Tomislava 10, 47000 Karlovac</derivirana_varijabla>
  </DomainObject.Predmet.ProtustrankaFormatedWithAdressOIB>
  <DomainObject.Predmet.ProtustrankaWithAdress>
    <izvorni_sadrzaj>Stečajna masa iza AUDAX TIM jednostavno društvo s ograničenom odgovornošću za građevinu i usluge u stečaju Kralja Tomislava 10, 47000 Karlovac</izvorni_sadrzaj>
    <derivirana_varijabla naziv="DomainObject.Predmet.ProtustrankaWithAdress_1">Stečajna masa iza AUDAX TIM jednostavno društvo s ograničenom odgovornošću za građevinu i usluge u stečaju Kralja Tomislava 10, 47000 Karlovac</derivirana_varijabla>
  </DomainObject.Predmet.ProtustrankaWithAdress>
  <DomainObject.Predmet.ProtustrankaWithAdressOIB>
    <izvorni_sadrzaj>Stečajna masa iza AUDAX TIM jednostavno društvo s ograničenom odgovornošću za građevinu i usluge u stečaju, OIB 56636823183, Kralja Tomislava 10, 47000 Karlovac</izvorni_sadrzaj>
    <derivirana_varijabla naziv="DomainObject.Predmet.ProtustrankaWithAdressOIB_1">Stečajna masa iza AUDAX TIM jednostavno društvo s ograničenom odgovornošću za građevinu i usluge u stečaju, OIB 56636823183, Kralja Tomislava 10, 47000 Karlovac</derivirana_varijabla>
  </DomainObject.Predmet.ProtustrankaWithAdressOIB>
  <DomainObject.Predmet.ProtustrankaNazivFormated>
    <izvorni_sadrzaj>Stečajna masa iza AUDAX TIM jednostavno društvo s ograničenom odgovornošću za građevinu i usluge u stečaju</izvorni_sadrzaj>
    <derivirana_varijabla naziv="DomainObject.Predmet.ProtustrankaNazivFormated_1">Stečajna masa iza AUDAX TIM jednostavno društvo s ograničenom odgovornošću za građevinu i usluge u stečaju</derivirana_varijabla>
  </DomainObject.Predmet.ProtustrankaNazivFormated>
  <DomainObject.Predmet.ProtustrankaNazivFormatedOIB>
    <izvorni_sadrzaj>Stečajna masa iza AUDAX TIM jednostavno društvo s ograničenom odgovornošću za građevinu i usluge u stečaju, OIB 56636823183</izvorni_sadrzaj>
    <derivirana_varijabla naziv="DomainObject.Predmet.ProtustrankaNazivFormatedOIB_1">Stečajna masa iza AUDAX TIM jednostavno društvo s ograničenom odgovornošću za građevinu i usluge u stečaju, OIB 56636823183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Alma Tatalović, KARLOVAC</izvorni_sadrzaj>
    <derivirana_varijabla naziv="DomainObject.Predmet.StrankaFormated_1">  Alma Tatalović, KARLOVAC</derivirana_varijabla>
  </DomainObject.Predmet.StrankaFormated>
  <DomainObject.Predmet.StrankaFormatedOIB>
    <izvorni_sadrzaj>  Alma Tatalović, KARLOVAC, OIB 96481669624</izvorni_sadrzaj>
    <derivirana_varijabla naziv="DomainObject.Predmet.StrankaFormatedOIB_1">  Alma Tatalović, KARLOVAC, OIB 96481669624</derivirana_varijabla>
  </DomainObject.Predmet.StrankaFormatedOIB>
  <DomainObject.Predmet.StrankaFormatedWithAdress>
    <izvorni_sadrzaj> Alma Tatalović, KARLOVAC, Domobranska Ulica 23, 47000 Karlovac</izvorni_sadrzaj>
    <derivirana_varijabla naziv="DomainObject.Predmet.StrankaFormatedWithAdress_1"> Alma Tatalović, KARLOVAC, Domobranska Ulica 23, 47000 Karlovac</derivirana_varijabla>
  </DomainObject.Predmet.StrankaFormatedWithAdress>
  <DomainObject.Predmet.StrankaFormatedWithAdressOIB>
    <izvorni_sadrzaj> Alma Tatalović, KARLOVAC, OIB 96481669624, Domobranska Ulica 23, 47000 Karlovac</izvorni_sadrzaj>
    <derivirana_varijabla naziv="DomainObject.Predmet.StrankaFormatedWithAdressOIB_1"> Alma Tatalović, KARLOVAC, OIB 96481669624, Domobranska Ulica 23, 47000 Karlovac</derivirana_varijabla>
  </DomainObject.Predmet.StrankaFormatedWithAdressOIB>
  <DomainObject.Predmet.StrankaWithAdress>
    <izvorni_sadrzaj>Alma Tatalović, KARLOVAC Domobranska Ulica 23,47000 Karlovac</izvorni_sadrzaj>
    <derivirana_varijabla naziv="DomainObject.Predmet.StrankaWithAdress_1">Alma Tatalović, KARLOVAC Domobranska Ulica 23,47000 Karlovac</derivirana_varijabla>
  </DomainObject.Predmet.StrankaWithAdress>
  <DomainObject.Predmet.StrankaWithAdressOIB>
    <izvorni_sadrzaj>Alma Tatalović, KARLOVAC, OIB 96481669624, Domobranska Ulica 23,47000 Karlovac</izvorni_sadrzaj>
    <derivirana_varijabla naziv="DomainObject.Predmet.StrankaWithAdressOIB_1">Alma Tatalović, KARLOVAC, OIB 96481669624, Domobranska Ulica 23,47000 Karlovac</derivirana_varijabla>
  </DomainObject.Predmet.StrankaWithAdressOIB>
  <DomainObject.Predmet.StrankaNazivFormated>
    <izvorni_sadrzaj>Alma Tatalović, KARLOVAC</izvorni_sadrzaj>
    <derivirana_varijabla naziv="DomainObject.Predmet.StrankaNazivFormated_1">Alma Tatalović, KARLOVAC</derivirana_varijabla>
  </DomainObject.Predmet.StrankaNazivFormated>
  <DomainObject.Predmet.StrankaNazivFormatedOIB>
    <izvorni_sadrzaj>Alma Tatalović, KARLOVAC, OIB 96481669624</izvorni_sadrzaj>
    <derivirana_varijabla naziv="DomainObject.Predmet.StrankaNazivFormatedOIB_1">Alma Tatalović, KARLOVAC, OIB 96481669624</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Alma Tatalović, KARLOVAC</item>
    </izvorni_sadrzaj>
    <derivirana_varijabla naziv="DomainObject.Predmet.StrankaListFormated_1">
      <item>Alma Tatalović, KARLOVAC</item>
    </derivirana_varijabla>
  </DomainObject.Predmet.StrankaListFormated>
  <DomainObject.Predmet.StrankaListFormatedOIB>
    <izvorni_sadrzaj>
      <item>Alma Tatalović, KARLOVAC, OIB 96481669624</item>
    </izvorni_sadrzaj>
    <derivirana_varijabla naziv="DomainObject.Predmet.StrankaListFormatedOIB_1">
      <item>Alma Tatalović, KARLOVAC, OIB 96481669624</item>
    </derivirana_varijabla>
  </DomainObject.Predmet.StrankaListFormatedOIB>
  <DomainObject.Predmet.StrankaListFormatedWithAdress>
    <izvorni_sadrzaj>
      <item>Alma Tatalović, KARLOVAC, Domobranska Ulica 23, 47000 Karlovac</item>
    </izvorni_sadrzaj>
    <derivirana_varijabla naziv="DomainObject.Predmet.StrankaListFormatedWithAdress_1">
      <item>Alma Tatalović, KARLOVAC, Domobranska Ulica 23, 47000 Karlovac</item>
    </derivirana_varijabla>
  </DomainObject.Predmet.StrankaListFormatedWithAdress>
  <DomainObject.Predmet.StrankaListFormatedWithAdressOIB>
    <izvorni_sadrzaj>
      <item>Alma Tatalović, KARLOVAC, OIB 96481669624, Domobranska Ulica 23, 47000 Karlovac</item>
    </izvorni_sadrzaj>
    <derivirana_varijabla naziv="DomainObject.Predmet.StrankaListFormatedWithAdressOIB_1">
      <item>Alma Tatalović, KARLOVAC, OIB 96481669624, Domobranska Ulica 23, 47000 Karlovac</item>
    </derivirana_varijabla>
  </DomainObject.Predmet.StrankaListFormatedWithAdressOIB>
  <DomainObject.Predmet.StrankaListNazivFormated>
    <izvorni_sadrzaj>
      <item>Alma Tatalović, KARLOVAC</item>
    </izvorni_sadrzaj>
    <derivirana_varijabla naziv="DomainObject.Predmet.StrankaListNazivFormated_1">
      <item>Alma Tatalović, KARLOVAC</item>
    </derivirana_varijabla>
  </DomainObject.Predmet.StrankaListNazivFormated>
  <DomainObject.Predmet.StrankaListNazivFormatedOIB>
    <izvorni_sadrzaj>
      <item>Alma Tatalović, KARLOVAC, OIB 96481669624</item>
    </izvorni_sadrzaj>
    <derivirana_varijabla naziv="DomainObject.Predmet.StrankaListNazivFormatedOIB_1">
      <item>Alma Tatalović, KARLOVAC, OIB 96481669624</item>
    </derivirana_varijabla>
  </DomainObject.Predmet.StrankaListNazivFormatedOIB>
  <DomainObject.Predmet.ProtuStrankaListFormated>
    <izvorni_sadrzaj>
      <item>Stečajna masa iza AUDAX TIM jednostavno društvo s ograničenom odgovornošću za građevinu i usluge u stečaju</item>
    </izvorni_sadrzaj>
    <derivirana_varijabla naziv="DomainObject.Predmet.ProtuStrankaListFormated_1">
      <item>Stečajna masa iza AUDAX TIM jednostavno društvo s ograničenom odgovornošću za građevinu i usluge u stečaju</item>
    </derivirana_varijabla>
  </DomainObject.Predmet.ProtuStrankaListFormated>
  <DomainObject.Predmet.ProtuStrankaListFormatedOIB>
    <izvorni_sadrzaj>
      <item>Stečajna masa iza AUDAX TIM jednostavno društvo s ograničenom odgovornošću za građevinu i usluge u stečaju, OIB 56636823183</item>
    </izvorni_sadrzaj>
    <derivirana_varijabla naziv="DomainObject.Predmet.ProtuStrankaListFormatedOIB_1">
      <item>Stečajna masa iza AUDAX TIM jednostavno društvo s ograničenom odgovornošću za građevinu i usluge u stečaju, OIB 56636823183</item>
    </derivirana_varijabla>
  </DomainObject.Predmet.ProtuStrankaListFormatedOIB>
  <DomainObject.Predmet.ProtuStrankaListFormatedWithAdress>
    <izvorni_sadrzaj>
      <item>Stečajna masa iza AUDAX TIM jednostavno društvo s ograničenom odgovornošću za građevinu i usluge u stečaju, Kralja Tomislava 10, 47000 Karlovac</item>
    </izvorni_sadrzaj>
    <derivirana_varijabla naziv="DomainObject.Predmet.ProtuStrankaListFormatedWithAdress_1">
      <item>Stečajna masa iza AUDAX TIM jednostavno društvo s ograničenom odgovornošću za građevinu i usluge u stečaju, Kralja Tomislava 10, 47000 Karlovac</item>
    </derivirana_varijabla>
  </DomainObject.Predmet.ProtuStrankaListFormatedWithAdress>
  <DomainObject.Predmet.ProtuStrankaListFormatedWithAdressOIB>
    <izvorni_sadrzaj>
      <item>Stečajna masa iza AUDAX TIM jednostavno društvo s ograničenom odgovornošću za građevinu i usluge u stečaju, OIB 56636823183, Kralja Tomislava 10, 47000 Karlovac</item>
    </izvorni_sadrzaj>
    <derivirana_varijabla naziv="DomainObject.Predmet.ProtuStrankaListFormatedWithAdressOIB_1">
      <item>Stečajna masa iza AUDAX TIM jednostavno društvo s ograničenom odgovornošću za građevinu i usluge u stečaju, OIB 56636823183, Kralja Tomislava 10, 47000 Karlovac</item>
    </derivirana_varijabla>
  </DomainObject.Predmet.ProtuStrankaListFormatedWithAdressOIB>
  <DomainObject.Predmet.ProtuStrankaListNazivFormated>
    <izvorni_sadrzaj>
      <item>Stečajna masa iza AUDAX TIM jednostavno društvo s ograničenom odgovornošću za građevinu i usluge u stečaju</item>
    </izvorni_sadrzaj>
    <derivirana_varijabla naziv="DomainObject.Predmet.ProtuStrankaListNazivFormated_1">
      <item>Stečajna masa iza AUDAX TIM jednostavno društvo s ograničenom odgovornošću za građevinu i usluge u stečaju</item>
    </derivirana_varijabla>
  </DomainObject.Predmet.ProtuStrankaListNazivFormated>
  <DomainObject.Predmet.ProtuStrankaListNazivFormatedOIB>
    <izvorni_sadrzaj>
      <item>Stečajna masa iza AUDAX TIM jednostavno društvo s ograničenom odgovornošću za građevinu i usluge u stečaju, OIB 56636823183</item>
    </izvorni_sadrzaj>
    <derivirana_varijabla naziv="DomainObject.Predmet.ProtuStrankaListNazivFormatedOIB_1">
      <item>Stečajna masa iza AUDAX TIM jednostavno društvo s ograničenom odgovornošću za građevinu i usluge u stečaju, OIB 56636823183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7. studenog 2024.</izvorni_sadrzaj>
    <derivirana_varijabla naziv="DomainObject.Datum_1">7. studenog 2024.</derivirana_varijabla>
  </DomainObject.Datum>
  <DomainObject.PoslovniBrojDokumenta>
    <izvorni_sadrzaj>St-349/2024-68</izvorni_sadrzaj>
    <derivirana_varijabla naziv="DomainObject.PoslovniBrojDokumenta_1">St-349/2024-68</derivirana_varijabla>
  </DomainObject.PoslovniBrojDokumenta>
  <DomainObject.Predmet.StrankaIDrugi>
    <izvorni_sadrzaj>Alma Tatalović, KARLOVAC</izvorni_sadrzaj>
    <derivirana_varijabla naziv="DomainObject.Predmet.StrankaIDrugi_1">Alma Tatalović, KARLOVAC</derivirana_varijabla>
  </DomainObject.Predmet.StrankaIDrugi>
  <DomainObject.Predmet.ProtustrankaIDrugi>
    <izvorni_sadrzaj>Stečajna masa iza AUDAX TIM jednostavno društvo s ograničenom odgovornošću za građevinu i usluge u stečaju</izvorni_sadrzaj>
    <derivirana_varijabla naziv="DomainObject.Predmet.ProtustrankaIDrugi_1">Stečajna masa iza AUDAX TIM jednostavno društvo s ograničenom odgovornošću za građevinu i usluge u stečaju</derivirana_varijabla>
  </DomainObject.Predmet.ProtustrankaIDrugi>
  <DomainObject.Predmet.StrankaIDrugiAdressOIB>
    <izvorni_sadrzaj>Alma Tatalović, KARLOVAC, OIB 96481669624, Domobranska Ulica 23, 47000 Karlovac</izvorni_sadrzaj>
    <derivirana_varijabla naziv="DomainObject.Predmet.StrankaIDrugiAdressOIB_1">Alma Tatalović, KARLOVAC, OIB 96481669624, Domobranska Ulica 23, 47000 Karlovac</derivirana_varijabla>
  </DomainObject.Predmet.StrankaIDrugiAdressOIB>
  <DomainObject.Predmet.ProtustrankaIDrugiAdressOIB>
    <izvorni_sadrzaj>Stečajna masa iza AUDAX TIM jednostavno društvo s ograničenom odgovornošću za građevinu i usluge u stečaju, OIB 56636823183, Kralja Tomislava 10, 47000 Karlovac</izvorni_sadrzaj>
    <derivirana_varijabla naziv="DomainObject.Predmet.ProtustrankaIDrugiAdressOIB_1">Stečajna masa iza AUDAX TIM jednostavno društvo s ograničenom odgovornošću za građevinu i usluge u stečaju, OIB 56636823183, Kralja Tomislava 10,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AUDAX TIM jednostavno društvo s ograničenom odgovornošću za građevinu i usluge u stečaju</item>
      <item>Alma Tatalović, KARLOVAC</item>
    </izvorni_sadrzaj>
    <derivirana_varijabla naziv="DomainObject.Predmet.SudioniciListNaziv_1">
      <item>Stečajna masa iza AUDAX TIM jednostavno društvo s ograničenom odgovornošću za građevinu i usluge u stečaju</item>
      <item>Alma Tatalović, KARLOVAC</item>
    </derivirana_varijabla>
  </DomainObject.Predmet.SudioniciListNaziv>
  <DomainObject.Predmet.SudioniciListAdressOIB>
    <izvorni_sadrzaj>
      <item>Stečajna masa iza AUDAX TIM jednostavno društvo s ograničenom odgovornošću za građevinu i usluge u stečaju, OIB 56636823183, Kralja Tomislava 10,47000 Karlovac</item>
      <item>Alma Tatalović, KARLOVAC, OIB 96481669624, Domobranska Ulica 23,47000 Karlovac</item>
    </izvorni_sadrzaj>
    <derivirana_varijabla naziv="DomainObject.Predmet.SudioniciListAdressOIB_1">
      <item>Stečajna masa iza AUDAX TIM jednostavno društvo s ograničenom odgovornošću za građevinu i usluge u stečaju, OIB 56636823183, Kralja Tomislava 10,47000 Karlovac</item>
      <item>Alma Tatalović, KARLOVAC, OIB 96481669624, Domobranska Ulica 23,47000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56636823183</item>
      <item>, OIB 96481669624</item>
    </izvorni_sadrzaj>
    <derivirana_varijabla naziv="DomainObject.Predmet.SudioniciListNazivOIB_1">
      <item>, OIB 56636823183</item>
      <item>, OIB 96481669624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Tatalović, OIB 96481669624, Kralja Tomislava 10/1, 47000 Karlovac</item>
    </izvorni_sadrzaj>
    <derivirana_varijabla naziv="DomainObject.Predmet.StecajniUpraviteljiListAddressOIB_1">
      <item>Alma Tatalović, OIB 96481669624, Kralja Tomislava 10/1, 47000 Karlovac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10. listopada 2024.</izvorni_sadrzaj>
    <derivirana_varijabla naziv="DomainObject.Predmet.DatumPocetkaProcesa_1">10. listopada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2</properties:Pages>
  <properties:Words>365</properties:Words>
  <properties:Characters>2029</properties:Characters>
  <properties:Lines>86</properties:Lines>
  <properties:Paragraphs>33</properties:Paragraphs>
  <properties:TotalTime>36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2499</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2024-10-15T13:02:00Z</dcterms:created>
  <dc:creator>Jasmina Matika</dc:creator>
  <dc:description/>
  <cp:keywords/>
  <cp:lastModifiedBy>Jasmina Matika</cp:lastModifiedBy>
  <dcterms:modified xmlns:xsi="http://www.w3.org/2001/XMLSchema-instance" xsi:type="dcterms:W3CDTF">2024-11-07T09:34:00Z</dcterms:modified>
  <cp:revision>7</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St-349/2024-68 / Zapisnik - Skupština vjerovnika (St-349-24 - ZAPISNIK - SKUPŠTINA VJEROVNIKA - NAKON NASTAVKA RADI NAKNADNE DIOBE - 7.11.24.docx)</vt:lpwstr>
  </prop:property>
  <prop:property fmtid="{D5CDD505-2E9C-101B-9397-08002B2CF9AE}" pid="4" name="CC_coloring">
    <vt:bool>false</vt:bool>
  </prop:property>
  <prop:property fmtid="{D5CDD505-2E9C-101B-9397-08002B2CF9AE}" pid="5" name="BrojStranica">
    <vt:i4>2</vt:i4>
  </prop:property>
</prop:Properties>
</file>